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BE" w:rsidRDefault="00EF0FBE"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Avance Trimestral </w:t>
      </w:r>
    </w:p>
    <w:p w:rsidR="005D3347" w:rsidRDefault="00EF0FBE" w:rsidP="00194128">
      <w:pPr>
        <w:tabs>
          <w:tab w:val="left" w:pos="3556"/>
        </w:tabs>
        <w:jc w:val="center"/>
        <w:rPr>
          <w:rFonts w:ascii="Arial" w:eastAsiaTheme="minorHAnsi" w:hAnsi="Arial" w:cs="Arial"/>
          <w:b/>
          <w:sz w:val="24"/>
          <w:szCs w:val="22"/>
          <w:lang w:val="es-MX"/>
        </w:rPr>
      </w:pPr>
      <w:proofErr w:type="gramStart"/>
      <w:r>
        <w:rPr>
          <w:rFonts w:ascii="Arial" w:eastAsiaTheme="minorHAnsi" w:hAnsi="Arial" w:cs="Arial"/>
          <w:b/>
          <w:sz w:val="24"/>
          <w:szCs w:val="22"/>
          <w:lang w:val="es-MX"/>
        </w:rPr>
        <w:t>al</w:t>
      </w:r>
      <w:proofErr w:type="gramEnd"/>
      <w:r>
        <w:rPr>
          <w:rFonts w:ascii="Arial" w:eastAsiaTheme="minorHAnsi" w:hAnsi="Arial" w:cs="Arial"/>
          <w:b/>
          <w:sz w:val="24"/>
          <w:szCs w:val="22"/>
          <w:lang w:val="es-MX"/>
        </w:rPr>
        <w:t xml:space="preserve"> 3</w:t>
      </w:r>
      <w:r w:rsidR="000C7575">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0C7575">
        <w:rPr>
          <w:rFonts w:ascii="Arial" w:eastAsiaTheme="minorHAnsi" w:hAnsi="Arial" w:cs="Arial"/>
          <w:b/>
          <w:sz w:val="24"/>
          <w:szCs w:val="22"/>
          <w:lang w:val="es-MX"/>
        </w:rPr>
        <w:t>junio</w:t>
      </w:r>
      <w:r>
        <w:rPr>
          <w:rFonts w:ascii="Arial" w:eastAsiaTheme="minorHAnsi" w:hAnsi="Arial" w:cs="Arial"/>
          <w:b/>
          <w:sz w:val="24"/>
          <w:szCs w:val="22"/>
          <w:lang w:val="es-MX"/>
        </w:rPr>
        <w:t xml:space="preserve"> de 2019</w:t>
      </w:r>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bookmarkStart w:id="0" w:name="_GoBack"/>
      <w:bookmarkEnd w:id="0"/>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California con la estructura de tres Campus: Mexicali, Tijuana y Ensenada, atendiendo al </w:t>
      </w:r>
      <w:r w:rsidR="00102BEF">
        <w:rPr>
          <w:rFonts w:ascii="Arial" w:hAnsi="Arial" w:cs="Arial"/>
          <w:sz w:val="22"/>
          <w:szCs w:val="22"/>
          <w:lang w:val="es-MX"/>
        </w:rPr>
        <w:t>55.8%</w:t>
      </w:r>
      <w:r w:rsidRPr="00C13B25">
        <w:rPr>
          <w:rFonts w:ascii="Arial" w:hAnsi="Arial" w:cs="Arial"/>
          <w:sz w:val="22"/>
          <w:szCs w:val="22"/>
          <w:lang w:val="es-MX"/>
        </w:rPr>
        <w:t xml:space="preserve"> de la población que cursa estudios superiores en el Estado, con </w:t>
      </w:r>
      <w:r w:rsidR="00102BEF">
        <w:rPr>
          <w:rFonts w:ascii="Arial" w:hAnsi="Arial" w:cs="Arial"/>
          <w:sz w:val="22"/>
          <w:szCs w:val="22"/>
          <w:lang w:val="es-MX"/>
        </w:rPr>
        <w:t>62,865</w:t>
      </w:r>
      <w:r w:rsidRPr="00C13B25">
        <w:rPr>
          <w:rFonts w:ascii="Arial" w:hAnsi="Arial" w:cs="Arial"/>
          <w:sz w:val="22"/>
          <w:szCs w:val="22"/>
          <w:lang w:val="es-MX"/>
        </w:rPr>
        <w:t xml:space="preserve"> alumnos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Pr="00C13B25">
        <w:rPr>
          <w:rFonts w:ascii="Arial" w:hAnsi="Arial" w:cs="Arial"/>
          <w:sz w:val="22"/>
          <w:szCs w:val="22"/>
          <w:lang w:val="es-MX"/>
        </w:rPr>
        <w:t>publi</w:t>
      </w:r>
      <w:r w:rsidR="005D3347" w:rsidRPr="00C13B25">
        <w:rPr>
          <w:rFonts w:ascii="Arial" w:hAnsi="Arial" w:cs="Arial"/>
          <w:sz w:val="22"/>
          <w:szCs w:val="22"/>
          <w:lang w:val="es-MX"/>
        </w:rPr>
        <w:t>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8"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 xml:space="preserve">Dr. Víctor Manuel </w:t>
            </w:r>
            <w:proofErr w:type="spellStart"/>
            <w:r w:rsidRPr="005D3347">
              <w:rPr>
                <w:rFonts w:ascii="Arial" w:hAnsi="Arial" w:cs="Arial"/>
                <w:sz w:val="22"/>
                <w:szCs w:val="22"/>
                <w:lang w:val="es-ES" w:eastAsia="es-ES"/>
              </w:rPr>
              <w:t>Alcántar</w:t>
            </w:r>
            <w:proofErr w:type="spellEnd"/>
            <w:r w:rsidRPr="005D3347">
              <w:rPr>
                <w:rFonts w:ascii="Arial" w:hAnsi="Arial" w:cs="Arial"/>
                <w:sz w:val="22"/>
                <w:szCs w:val="22"/>
                <w:lang w:val="es-ES" w:eastAsia="es-ES"/>
              </w:rPr>
              <w:t xml:space="preserve">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9"/>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9C" w:rsidRDefault="00D8269C" w:rsidP="00056C30">
      <w:r>
        <w:separator/>
      </w:r>
    </w:p>
  </w:endnote>
  <w:endnote w:type="continuationSeparator" w:id="0">
    <w:p w:rsidR="00D8269C" w:rsidRDefault="00D8269C"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9C" w:rsidRDefault="00D8269C" w:rsidP="00056C30">
      <w:r>
        <w:separator/>
      </w:r>
    </w:p>
  </w:footnote>
  <w:footnote w:type="continuationSeparator" w:id="0">
    <w:p w:rsidR="00D8269C" w:rsidRDefault="00D8269C" w:rsidP="0005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6244C65E" wp14:editId="037AE11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30"/>
    <w:rsid w:val="00042981"/>
    <w:rsid w:val="00056C30"/>
    <w:rsid w:val="00085F8F"/>
    <w:rsid w:val="000C7575"/>
    <w:rsid w:val="000D5D89"/>
    <w:rsid w:val="00102BEF"/>
    <w:rsid w:val="0016319C"/>
    <w:rsid w:val="00181C2C"/>
    <w:rsid w:val="00194128"/>
    <w:rsid w:val="00256C22"/>
    <w:rsid w:val="002A46BA"/>
    <w:rsid w:val="0039615A"/>
    <w:rsid w:val="003A11EB"/>
    <w:rsid w:val="00501A81"/>
    <w:rsid w:val="00514049"/>
    <w:rsid w:val="005667DA"/>
    <w:rsid w:val="005D3347"/>
    <w:rsid w:val="006D015A"/>
    <w:rsid w:val="006D04C4"/>
    <w:rsid w:val="00742660"/>
    <w:rsid w:val="00745F29"/>
    <w:rsid w:val="00786BB9"/>
    <w:rsid w:val="007916B7"/>
    <w:rsid w:val="008162FC"/>
    <w:rsid w:val="00824BD9"/>
    <w:rsid w:val="00833C96"/>
    <w:rsid w:val="00842276"/>
    <w:rsid w:val="008D4C3B"/>
    <w:rsid w:val="0095426F"/>
    <w:rsid w:val="009C1EF0"/>
    <w:rsid w:val="00A27F27"/>
    <w:rsid w:val="00A40D3C"/>
    <w:rsid w:val="00A8390C"/>
    <w:rsid w:val="00AB5C67"/>
    <w:rsid w:val="00AE48FC"/>
    <w:rsid w:val="00B34B0B"/>
    <w:rsid w:val="00BF1EA7"/>
    <w:rsid w:val="00C13B25"/>
    <w:rsid w:val="00CA0B23"/>
    <w:rsid w:val="00CB605C"/>
    <w:rsid w:val="00CE0FCF"/>
    <w:rsid w:val="00D2767D"/>
    <w:rsid w:val="00D406A0"/>
    <w:rsid w:val="00D560BF"/>
    <w:rsid w:val="00D8269C"/>
    <w:rsid w:val="00D83B0A"/>
    <w:rsid w:val="00D86062"/>
    <w:rsid w:val="00DA2BB9"/>
    <w:rsid w:val="00E15091"/>
    <w:rsid w:val="00E15B42"/>
    <w:rsid w:val="00E6780D"/>
    <w:rsid w:val="00EE3ED1"/>
    <w:rsid w:val="00EF0FBE"/>
    <w:rsid w:val="00F477A1"/>
    <w:rsid w:val="00F8706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c.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7B86-0EF1-4DD5-9547-2A0DCECC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UABC</cp:lastModifiedBy>
  <cp:revision>2</cp:revision>
  <cp:lastPrinted>2019-07-29T19:39:00Z</cp:lastPrinted>
  <dcterms:created xsi:type="dcterms:W3CDTF">2019-07-29T19:39:00Z</dcterms:created>
  <dcterms:modified xsi:type="dcterms:W3CDTF">2019-07-29T19:39:00Z</dcterms:modified>
</cp:coreProperties>
</file>